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43" w:rsidRPr="00BD26EF" w:rsidRDefault="008C7743" w:rsidP="008C7743">
      <w:pPr>
        <w:spacing w:after="0" w:line="240" w:lineRule="auto"/>
        <w:rPr>
          <w:b/>
          <w:sz w:val="30"/>
          <w:szCs w:val="30"/>
        </w:rPr>
      </w:pPr>
    </w:p>
    <w:tbl>
      <w:tblPr>
        <w:tblStyle w:val="TableGrid"/>
        <w:tblW w:w="15232" w:type="dxa"/>
        <w:tblInd w:w="-455" w:type="dxa"/>
        <w:tblLook w:val="04A0" w:firstRow="1" w:lastRow="0" w:firstColumn="1" w:lastColumn="0" w:noHBand="0" w:noVBand="1"/>
      </w:tblPr>
      <w:tblGrid>
        <w:gridCol w:w="15232"/>
      </w:tblGrid>
      <w:tr w:rsidR="008C7743" w:rsidRPr="00BD26EF" w:rsidTr="008C7743">
        <w:trPr>
          <w:trHeight w:val="604"/>
        </w:trPr>
        <w:tc>
          <w:tcPr>
            <w:tcW w:w="15232" w:type="dxa"/>
          </w:tcPr>
          <w:p w:rsidR="008C7743" w:rsidRPr="00BD26EF" w:rsidRDefault="008C7743" w:rsidP="00F6497B">
            <w:pPr>
              <w:ind w:left="720"/>
              <w:contextualSpacing/>
              <w:jc w:val="center"/>
              <w:rPr>
                <w:b/>
                <w:caps/>
                <w:sz w:val="21"/>
                <w:szCs w:val="21"/>
              </w:rPr>
            </w:pPr>
            <w:r w:rsidRPr="00BD26EF">
              <w:rPr>
                <w:b/>
                <w:caps/>
                <w:sz w:val="21"/>
                <w:szCs w:val="21"/>
              </w:rPr>
              <w:t>Question 2:</w:t>
            </w:r>
          </w:p>
          <w:p w:rsidR="008C7743" w:rsidRPr="00BD26EF" w:rsidRDefault="008C7743" w:rsidP="00F6497B">
            <w:pPr>
              <w:ind w:left="720"/>
              <w:contextualSpacing/>
              <w:jc w:val="center"/>
              <w:rPr>
                <w:b/>
                <w:caps/>
                <w:sz w:val="21"/>
                <w:szCs w:val="21"/>
              </w:rPr>
            </w:pPr>
            <w:r w:rsidRPr="00BD26EF">
              <w:rPr>
                <w:b/>
                <w:caps/>
                <w:sz w:val="21"/>
                <w:szCs w:val="21"/>
              </w:rPr>
              <w:t>Language, INtended effect</w:t>
            </w:r>
          </w:p>
        </w:tc>
      </w:tr>
      <w:tr w:rsidR="008C7743" w:rsidRPr="00BD26EF" w:rsidTr="008C7743">
        <w:trPr>
          <w:trHeight w:val="333"/>
        </w:trPr>
        <w:tc>
          <w:tcPr>
            <w:tcW w:w="15232" w:type="dxa"/>
          </w:tcPr>
          <w:p w:rsidR="008C7743" w:rsidRPr="00BD26EF" w:rsidRDefault="008C7743" w:rsidP="008C7743">
            <w:pPr>
              <w:pStyle w:val="ListParagraph"/>
              <w:numPr>
                <w:ilvl w:val="0"/>
                <w:numId w:val="1"/>
              </w:numPr>
              <w:spacing w:after="0" w:line="240" w:lineRule="auto"/>
              <w:rPr>
                <w:sz w:val="21"/>
                <w:szCs w:val="21"/>
              </w:rPr>
            </w:pPr>
            <w:r w:rsidRPr="00BD26EF">
              <w:t xml:space="preserve">9PSV4 Show some appreciation of how the writer’s language choices contribute to the overall effect on the reader, e.g. demonstrating the effectiveness of imagery in contrasting texts or arguing that the use of highly emotive language in an advertisement is/is not counterproductive in its effect on an audience. </w:t>
            </w:r>
          </w:p>
          <w:p w:rsidR="008C7743" w:rsidRPr="00BD26EF" w:rsidRDefault="008C7743" w:rsidP="008C7743">
            <w:pPr>
              <w:pStyle w:val="ListParagraph"/>
              <w:numPr>
                <w:ilvl w:val="0"/>
                <w:numId w:val="1"/>
              </w:numPr>
              <w:spacing w:after="0" w:line="240" w:lineRule="auto"/>
              <w:rPr>
                <w:sz w:val="21"/>
                <w:szCs w:val="21"/>
              </w:rPr>
            </w:pPr>
            <w:r w:rsidRPr="00BD26EF">
              <w:t>9GPr1 Develop precise, perceptive analysis of how language is used, e.g. explaining how euphemisms conceal bias in a political statement or showing how language use reflects a character’s changing emotional state.</w:t>
            </w:r>
          </w:p>
          <w:p w:rsidR="008C7743" w:rsidRPr="00BD26EF" w:rsidRDefault="008C7743" w:rsidP="008C7743">
            <w:pPr>
              <w:pStyle w:val="ListParagraph"/>
              <w:numPr>
                <w:ilvl w:val="0"/>
                <w:numId w:val="1"/>
              </w:numPr>
              <w:spacing w:after="0" w:line="240" w:lineRule="auto"/>
              <w:rPr>
                <w:sz w:val="21"/>
                <w:szCs w:val="21"/>
              </w:rPr>
            </w:pPr>
            <w:r w:rsidRPr="00BD26EF">
              <w:t xml:space="preserve">9Rf2 </w:t>
            </w:r>
            <w:proofErr w:type="spellStart"/>
            <w:r w:rsidRPr="00BD26EF">
              <w:t>Analyse</w:t>
            </w:r>
            <w:proofErr w:type="spellEnd"/>
            <w:r w:rsidRPr="00BD26EF">
              <w:t xml:space="preserve"> in depth and detail writers’ use of literary, rhetorical and grammatical features and their effects on different readers. </w:t>
            </w:r>
          </w:p>
          <w:p w:rsidR="008C7743" w:rsidRPr="00BD26EF" w:rsidRDefault="008C7743" w:rsidP="008C7743">
            <w:pPr>
              <w:pStyle w:val="ListParagraph"/>
              <w:numPr>
                <w:ilvl w:val="0"/>
                <w:numId w:val="1"/>
              </w:numPr>
              <w:spacing w:after="0" w:line="240" w:lineRule="auto"/>
              <w:rPr>
                <w:sz w:val="21"/>
                <w:szCs w:val="21"/>
              </w:rPr>
            </w:pPr>
            <w:r w:rsidRPr="00BD26EF">
              <w:t xml:space="preserve">9Rf5 </w:t>
            </w:r>
            <w:proofErr w:type="spellStart"/>
            <w:r w:rsidRPr="00BD26EF">
              <w:t>Analyse</w:t>
            </w:r>
            <w:proofErr w:type="spellEnd"/>
            <w:r w:rsidRPr="00BD26EF">
              <w:t xml:space="preserve"> the structures of different poetical forms. Demonstrate understanding of impact of vocabulary and meaning through the selection of appropriate quotations</w:t>
            </w:r>
          </w:p>
        </w:tc>
      </w:tr>
    </w:tbl>
    <w:p w:rsidR="008C7743" w:rsidRPr="00BD26EF" w:rsidRDefault="008C7743" w:rsidP="008C7743">
      <w:pPr>
        <w:spacing w:after="0" w:line="240" w:lineRule="auto"/>
        <w:rPr>
          <w:b/>
          <w:sz w:val="30"/>
          <w:szCs w:val="30"/>
        </w:rPr>
      </w:pPr>
    </w:p>
    <w:p w:rsidR="008C7743" w:rsidRPr="00BD26EF" w:rsidRDefault="008C7743" w:rsidP="008C7743">
      <w:pPr>
        <w:spacing w:after="0" w:line="240" w:lineRule="auto"/>
        <w:jc w:val="center"/>
        <w:rPr>
          <w:b/>
          <w:sz w:val="30"/>
          <w:szCs w:val="30"/>
        </w:rPr>
      </w:pPr>
    </w:p>
    <w:p w:rsidR="008C7743" w:rsidRPr="003C14AD" w:rsidRDefault="008C7743" w:rsidP="008C7743">
      <w:pPr>
        <w:autoSpaceDE w:val="0"/>
        <w:autoSpaceDN w:val="0"/>
        <w:adjustRightInd w:val="0"/>
        <w:spacing w:after="0" w:line="240" w:lineRule="auto"/>
        <w:rPr>
          <w:rFonts w:cs="TT4CBo00"/>
          <w:b/>
          <w:sz w:val="26"/>
          <w:szCs w:val="26"/>
        </w:rPr>
      </w:pPr>
      <w:r w:rsidRPr="003C14AD">
        <w:rPr>
          <w:rFonts w:cs="TT4CBo00"/>
          <w:b/>
          <w:sz w:val="26"/>
          <w:szCs w:val="26"/>
        </w:rPr>
        <w:t>Marking Criteria for Question 2</w:t>
      </w:r>
    </w:p>
    <w:p w:rsidR="008C7743" w:rsidRPr="008C7743" w:rsidRDefault="008C7743" w:rsidP="008C7743">
      <w:pPr>
        <w:autoSpaceDE w:val="0"/>
        <w:autoSpaceDN w:val="0"/>
        <w:adjustRightInd w:val="0"/>
        <w:spacing w:after="0" w:line="240" w:lineRule="auto"/>
        <w:rPr>
          <w:rFonts w:cs="TT4CAo00"/>
          <w:b/>
        </w:rPr>
      </w:pPr>
      <w:r w:rsidRPr="003C14AD">
        <w:rPr>
          <w:rFonts w:cs="TT4CAo00"/>
          <w:b/>
        </w:rPr>
        <w:t>Table A, Reading: Language analysis: Use the following table to give a mark out of 10 for Reading.</w:t>
      </w:r>
      <w:bookmarkStart w:id="0" w:name="_GoBack"/>
      <w:bookmarkEnd w:id="0"/>
    </w:p>
    <w:tbl>
      <w:tblPr>
        <w:tblStyle w:val="TableGrid"/>
        <w:tblW w:w="15120" w:type="dxa"/>
        <w:tblInd w:w="-365" w:type="dxa"/>
        <w:tblLook w:val="04A0" w:firstRow="1" w:lastRow="0" w:firstColumn="1" w:lastColumn="0" w:noHBand="0" w:noVBand="1"/>
      </w:tblPr>
      <w:tblGrid>
        <w:gridCol w:w="1373"/>
        <w:gridCol w:w="13747"/>
      </w:tblGrid>
      <w:tr w:rsidR="008C7743" w:rsidRPr="00BD26EF" w:rsidTr="008C7743">
        <w:tc>
          <w:tcPr>
            <w:tcW w:w="1373" w:type="dxa"/>
            <w:shd w:val="clear" w:color="auto" w:fill="D9D9D9" w:themeFill="background1" w:themeFillShade="D9"/>
          </w:tcPr>
          <w:p w:rsidR="008C7743" w:rsidRPr="00BD26EF" w:rsidRDefault="008C7743" w:rsidP="00F6497B">
            <w:pPr>
              <w:autoSpaceDE w:val="0"/>
              <w:autoSpaceDN w:val="0"/>
              <w:adjustRightInd w:val="0"/>
              <w:rPr>
                <w:rFonts w:cs="TT4CBo00"/>
              </w:rPr>
            </w:pPr>
            <w:r w:rsidRPr="00BD26EF">
              <w:rPr>
                <w:rFonts w:cs="TT4CBo00"/>
              </w:rPr>
              <w:t xml:space="preserve">Band 1 </w:t>
            </w:r>
          </w:p>
          <w:p w:rsidR="008C7743" w:rsidRPr="00BD26EF" w:rsidRDefault="008C7743" w:rsidP="00F6497B">
            <w:pPr>
              <w:autoSpaceDE w:val="0"/>
              <w:autoSpaceDN w:val="0"/>
              <w:adjustRightInd w:val="0"/>
              <w:rPr>
                <w:rFonts w:cs="TT4CAo00"/>
              </w:rPr>
            </w:pPr>
            <w:r w:rsidRPr="00BD26EF">
              <w:rPr>
                <w:rFonts w:cs="TT4CBo00"/>
              </w:rPr>
              <w:t>9–10</w:t>
            </w:r>
          </w:p>
        </w:tc>
        <w:tc>
          <w:tcPr>
            <w:tcW w:w="13747" w:type="dxa"/>
          </w:tcPr>
          <w:p w:rsidR="008C7743" w:rsidRPr="00BD26EF" w:rsidRDefault="008C7743" w:rsidP="00F6497B">
            <w:pPr>
              <w:autoSpaceDE w:val="0"/>
              <w:autoSpaceDN w:val="0"/>
              <w:adjustRightInd w:val="0"/>
              <w:rPr>
                <w:rFonts w:cs="TT4CAo00"/>
              </w:rPr>
            </w:pPr>
            <w:r w:rsidRPr="00BD26EF">
              <w:rPr>
                <w:rFonts w:cs="TT4CAo00"/>
              </w:rPr>
              <w:t>Wide ranging and closely focused discussion of language with some high quality comments that add associations to words in both parts of the question, and demonstrate the writer’s reasons for using them. Tackles imagery with some precision and imagination. There is clear evidence that the candidate understands how language works.</w:t>
            </w:r>
          </w:p>
        </w:tc>
      </w:tr>
      <w:tr w:rsidR="008C7743" w:rsidRPr="00BD26EF" w:rsidTr="008C7743">
        <w:tc>
          <w:tcPr>
            <w:tcW w:w="1373" w:type="dxa"/>
            <w:shd w:val="clear" w:color="auto" w:fill="D9D9D9" w:themeFill="background1" w:themeFillShade="D9"/>
          </w:tcPr>
          <w:p w:rsidR="008C7743" w:rsidRPr="00BD26EF" w:rsidRDefault="008C7743" w:rsidP="00F6497B">
            <w:pPr>
              <w:autoSpaceDE w:val="0"/>
              <w:autoSpaceDN w:val="0"/>
              <w:adjustRightInd w:val="0"/>
              <w:rPr>
                <w:rFonts w:cs="TT4CBo00"/>
              </w:rPr>
            </w:pPr>
            <w:r w:rsidRPr="00BD26EF">
              <w:rPr>
                <w:rFonts w:cs="TT4CBo00"/>
              </w:rPr>
              <w:t xml:space="preserve">Band 2 </w:t>
            </w:r>
          </w:p>
          <w:p w:rsidR="008C7743" w:rsidRPr="00BD26EF" w:rsidRDefault="008C7743" w:rsidP="00F6497B">
            <w:pPr>
              <w:autoSpaceDE w:val="0"/>
              <w:autoSpaceDN w:val="0"/>
              <w:adjustRightInd w:val="0"/>
              <w:rPr>
                <w:rFonts w:cs="TT4CAo00"/>
              </w:rPr>
            </w:pPr>
            <w:r w:rsidRPr="00BD26EF">
              <w:rPr>
                <w:rFonts w:cs="TT4CBo00"/>
              </w:rPr>
              <w:t>7–8</w:t>
            </w:r>
          </w:p>
        </w:tc>
        <w:tc>
          <w:tcPr>
            <w:tcW w:w="13747" w:type="dxa"/>
          </w:tcPr>
          <w:p w:rsidR="008C7743" w:rsidRPr="00BD26EF" w:rsidRDefault="008C7743" w:rsidP="00F6497B">
            <w:pPr>
              <w:autoSpaceDE w:val="0"/>
              <w:autoSpaceDN w:val="0"/>
              <w:adjustRightInd w:val="0"/>
              <w:rPr>
                <w:rFonts w:cs="TT4CAo00"/>
              </w:rPr>
            </w:pPr>
            <w:r w:rsidRPr="00BD26EF">
              <w:rPr>
                <w:rFonts w:cs="TT4CAo00"/>
              </w:rPr>
              <w:t xml:space="preserve">Explanations </w:t>
            </w:r>
            <w:proofErr w:type="gramStart"/>
            <w:r w:rsidRPr="00BD26EF">
              <w:rPr>
                <w:rFonts w:cs="TT4CAo00"/>
              </w:rPr>
              <w:t>are given</w:t>
            </w:r>
            <w:proofErr w:type="gramEnd"/>
            <w:r w:rsidRPr="00BD26EF">
              <w:rPr>
                <w:rFonts w:cs="TT4CAo00"/>
              </w:rPr>
              <w:t xml:space="preserve"> of appropriately selected words and phrases, and effects are identified in both parts of the question. Images </w:t>
            </w:r>
            <w:proofErr w:type="gramStart"/>
            <w:r w:rsidRPr="00BD26EF">
              <w:rPr>
                <w:rFonts w:cs="TT4CAo00"/>
              </w:rPr>
              <w:t xml:space="preserve">are </w:t>
            </w:r>
            <w:proofErr w:type="spellStart"/>
            <w:r w:rsidRPr="00BD26EF">
              <w:rPr>
                <w:rFonts w:cs="TT4CAo00"/>
              </w:rPr>
              <w:t>recognised</w:t>
            </w:r>
            <w:proofErr w:type="spellEnd"/>
            <w:proofErr w:type="gramEnd"/>
            <w:r w:rsidRPr="00BD26EF">
              <w:rPr>
                <w:rFonts w:cs="TT4CAo00"/>
              </w:rPr>
              <w:t xml:space="preserve"> as such and the response goes some way to explaining them. There is some evidence that the candidate understands how language works.</w:t>
            </w:r>
          </w:p>
        </w:tc>
      </w:tr>
      <w:tr w:rsidR="008C7743" w:rsidRPr="00BD26EF" w:rsidTr="008C7743">
        <w:tc>
          <w:tcPr>
            <w:tcW w:w="1373" w:type="dxa"/>
            <w:shd w:val="clear" w:color="auto" w:fill="D9D9D9" w:themeFill="background1" w:themeFillShade="D9"/>
          </w:tcPr>
          <w:p w:rsidR="008C7743" w:rsidRPr="00BD26EF" w:rsidRDefault="008C7743" w:rsidP="00F6497B">
            <w:pPr>
              <w:autoSpaceDE w:val="0"/>
              <w:autoSpaceDN w:val="0"/>
              <w:adjustRightInd w:val="0"/>
              <w:rPr>
                <w:rFonts w:cs="TT4CBo00"/>
              </w:rPr>
            </w:pPr>
            <w:r w:rsidRPr="00BD26EF">
              <w:rPr>
                <w:rFonts w:cs="TT4CBo00"/>
              </w:rPr>
              <w:t xml:space="preserve">Band 3 </w:t>
            </w:r>
          </w:p>
          <w:p w:rsidR="008C7743" w:rsidRPr="00BD26EF" w:rsidRDefault="008C7743" w:rsidP="00F6497B">
            <w:pPr>
              <w:autoSpaceDE w:val="0"/>
              <w:autoSpaceDN w:val="0"/>
              <w:adjustRightInd w:val="0"/>
              <w:rPr>
                <w:rFonts w:cs="TT4CAo00"/>
              </w:rPr>
            </w:pPr>
            <w:r w:rsidRPr="00BD26EF">
              <w:rPr>
                <w:rFonts w:cs="TT4CBo00"/>
              </w:rPr>
              <w:t>5–6</w:t>
            </w:r>
          </w:p>
        </w:tc>
        <w:tc>
          <w:tcPr>
            <w:tcW w:w="13747" w:type="dxa"/>
          </w:tcPr>
          <w:p w:rsidR="008C7743" w:rsidRPr="00BD26EF" w:rsidRDefault="008C7743" w:rsidP="00F6497B">
            <w:pPr>
              <w:autoSpaceDE w:val="0"/>
              <w:autoSpaceDN w:val="0"/>
              <w:adjustRightInd w:val="0"/>
              <w:rPr>
                <w:rFonts w:cs="TT4CAo00"/>
              </w:rPr>
            </w:pPr>
            <w:r w:rsidRPr="00BD26EF">
              <w:rPr>
                <w:rFonts w:cs="TT4CAo00"/>
              </w:rPr>
              <w:t xml:space="preserve">A satisfactory attempt </w:t>
            </w:r>
            <w:proofErr w:type="gramStart"/>
            <w:r w:rsidRPr="00BD26EF">
              <w:rPr>
                <w:rFonts w:cs="TT4CAo00"/>
              </w:rPr>
              <w:t>is made</w:t>
            </w:r>
            <w:proofErr w:type="gramEnd"/>
            <w:r w:rsidRPr="00BD26EF">
              <w:rPr>
                <w:rFonts w:cs="TT4CAo00"/>
              </w:rPr>
              <w:t xml:space="preserve"> to identify appropriate words and phrases. The response mostly gives meanings of words and any attempt to suggest and explain effects is basic, vague or very general. </w:t>
            </w:r>
            <w:proofErr w:type="gramStart"/>
            <w:r w:rsidRPr="00BD26EF">
              <w:rPr>
                <w:rFonts w:cs="TT4CAo00"/>
              </w:rPr>
              <w:t>One half</w:t>
            </w:r>
            <w:proofErr w:type="gramEnd"/>
            <w:r w:rsidRPr="00BD26EF">
              <w:rPr>
                <w:rFonts w:cs="TT4CAo00"/>
              </w:rPr>
              <w:t xml:space="preserve"> of the question may be better answered than the other.</w:t>
            </w:r>
          </w:p>
        </w:tc>
      </w:tr>
      <w:tr w:rsidR="008C7743" w:rsidRPr="00BD26EF" w:rsidTr="008C7743">
        <w:tc>
          <w:tcPr>
            <w:tcW w:w="1373" w:type="dxa"/>
            <w:shd w:val="clear" w:color="auto" w:fill="D9D9D9" w:themeFill="background1" w:themeFillShade="D9"/>
          </w:tcPr>
          <w:p w:rsidR="008C7743" w:rsidRPr="00BD26EF" w:rsidRDefault="008C7743" w:rsidP="00F6497B">
            <w:pPr>
              <w:autoSpaceDE w:val="0"/>
              <w:autoSpaceDN w:val="0"/>
              <w:adjustRightInd w:val="0"/>
              <w:rPr>
                <w:rFonts w:cs="TT4CBo00"/>
              </w:rPr>
            </w:pPr>
            <w:r w:rsidRPr="00BD26EF">
              <w:rPr>
                <w:rFonts w:cs="TT4CBo00"/>
              </w:rPr>
              <w:t xml:space="preserve">Band 4 </w:t>
            </w:r>
          </w:p>
          <w:p w:rsidR="008C7743" w:rsidRPr="00BD26EF" w:rsidRDefault="008C7743" w:rsidP="00F6497B">
            <w:pPr>
              <w:autoSpaceDE w:val="0"/>
              <w:autoSpaceDN w:val="0"/>
              <w:adjustRightInd w:val="0"/>
              <w:rPr>
                <w:rFonts w:cs="TT4CAo00"/>
              </w:rPr>
            </w:pPr>
            <w:r w:rsidRPr="00BD26EF">
              <w:rPr>
                <w:rFonts w:cs="TT4CBo00"/>
              </w:rPr>
              <w:t>3–4</w:t>
            </w:r>
          </w:p>
        </w:tc>
        <w:tc>
          <w:tcPr>
            <w:tcW w:w="13747" w:type="dxa"/>
          </w:tcPr>
          <w:p w:rsidR="008C7743" w:rsidRPr="00BD26EF" w:rsidRDefault="008C7743" w:rsidP="00F6497B">
            <w:pPr>
              <w:autoSpaceDE w:val="0"/>
              <w:autoSpaceDN w:val="0"/>
              <w:adjustRightInd w:val="0"/>
              <w:rPr>
                <w:rFonts w:cs="TT4CAo00"/>
              </w:rPr>
            </w:pPr>
            <w:r w:rsidRPr="00BD26EF">
              <w:rPr>
                <w:rFonts w:cs="TT4CAo00"/>
              </w:rPr>
              <w:t>The response provides a mixture of appropriate choices and words that communicate less well. The response may correctly identify linguistic or literary devices but not explain why they are used. Explanations of meaning may be few, general, slight or only partially effective. They may repeat the language of the original or do not refer to specific words.</w:t>
            </w:r>
          </w:p>
        </w:tc>
      </w:tr>
      <w:tr w:rsidR="008C7743" w:rsidRPr="00BD26EF" w:rsidTr="008C7743">
        <w:tc>
          <w:tcPr>
            <w:tcW w:w="1373" w:type="dxa"/>
            <w:shd w:val="clear" w:color="auto" w:fill="D9D9D9" w:themeFill="background1" w:themeFillShade="D9"/>
          </w:tcPr>
          <w:p w:rsidR="008C7743" w:rsidRPr="00BD26EF" w:rsidRDefault="008C7743" w:rsidP="00F6497B">
            <w:pPr>
              <w:autoSpaceDE w:val="0"/>
              <w:autoSpaceDN w:val="0"/>
              <w:adjustRightInd w:val="0"/>
              <w:rPr>
                <w:rFonts w:cs="TT4CBo00"/>
              </w:rPr>
            </w:pPr>
            <w:r w:rsidRPr="00BD26EF">
              <w:rPr>
                <w:rFonts w:cs="TT4CBo00"/>
              </w:rPr>
              <w:t xml:space="preserve">Band 5 </w:t>
            </w:r>
          </w:p>
          <w:p w:rsidR="008C7743" w:rsidRPr="00BD26EF" w:rsidRDefault="008C7743" w:rsidP="00F6497B">
            <w:pPr>
              <w:autoSpaceDE w:val="0"/>
              <w:autoSpaceDN w:val="0"/>
              <w:adjustRightInd w:val="0"/>
              <w:rPr>
                <w:rFonts w:cs="TT4CBo00"/>
              </w:rPr>
            </w:pPr>
            <w:r w:rsidRPr="00BD26EF">
              <w:rPr>
                <w:rFonts w:cs="TT4CBo00"/>
              </w:rPr>
              <w:t>1–2</w:t>
            </w:r>
          </w:p>
        </w:tc>
        <w:tc>
          <w:tcPr>
            <w:tcW w:w="13747" w:type="dxa"/>
          </w:tcPr>
          <w:p w:rsidR="008C7743" w:rsidRPr="00BD26EF" w:rsidRDefault="008C7743" w:rsidP="00F6497B">
            <w:pPr>
              <w:autoSpaceDE w:val="0"/>
              <w:autoSpaceDN w:val="0"/>
              <w:adjustRightInd w:val="0"/>
              <w:rPr>
                <w:rFonts w:cs="TT4CAo00"/>
              </w:rPr>
            </w:pPr>
            <w:r w:rsidRPr="00BD26EF">
              <w:rPr>
                <w:rFonts w:cs="TT4CAo00"/>
              </w:rPr>
              <w:t>The choice of words is insufficient or rarely relevant. Any comments are inappropriate and the response is very thin.</w:t>
            </w:r>
          </w:p>
          <w:p w:rsidR="008C7743" w:rsidRPr="00BD26EF" w:rsidRDefault="008C7743" w:rsidP="00F6497B">
            <w:pPr>
              <w:autoSpaceDE w:val="0"/>
              <w:autoSpaceDN w:val="0"/>
              <w:adjustRightInd w:val="0"/>
              <w:rPr>
                <w:rFonts w:cs="TT4CAo00"/>
              </w:rPr>
            </w:pPr>
          </w:p>
        </w:tc>
      </w:tr>
      <w:tr w:rsidR="008C7743" w:rsidRPr="00BD26EF" w:rsidTr="008C7743">
        <w:tc>
          <w:tcPr>
            <w:tcW w:w="1373" w:type="dxa"/>
            <w:shd w:val="clear" w:color="auto" w:fill="D9D9D9" w:themeFill="background1" w:themeFillShade="D9"/>
          </w:tcPr>
          <w:p w:rsidR="008C7743" w:rsidRPr="00BD26EF" w:rsidRDefault="008C7743" w:rsidP="00F6497B">
            <w:pPr>
              <w:autoSpaceDE w:val="0"/>
              <w:autoSpaceDN w:val="0"/>
              <w:adjustRightInd w:val="0"/>
              <w:rPr>
                <w:rFonts w:cs="TT4CBo00"/>
              </w:rPr>
            </w:pPr>
            <w:r w:rsidRPr="00BD26EF">
              <w:rPr>
                <w:rFonts w:cs="TT4CBo00"/>
              </w:rPr>
              <w:t>Band 6</w:t>
            </w:r>
          </w:p>
          <w:p w:rsidR="008C7743" w:rsidRPr="00BD26EF" w:rsidRDefault="008C7743" w:rsidP="00F6497B">
            <w:pPr>
              <w:autoSpaceDE w:val="0"/>
              <w:autoSpaceDN w:val="0"/>
              <w:adjustRightInd w:val="0"/>
              <w:rPr>
                <w:rFonts w:cs="TT4CBo00"/>
              </w:rPr>
            </w:pPr>
            <w:r w:rsidRPr="00BD26EF">
              <w:rPr>
                <w:rFonts w:cs="TT4CBo00"/>
              </w:rPr>
              <w:t>0</w:t>
            </w:r>
          </w:p>
        </w:tc>
        <w:tc>
          <w:tcPr>
            <w:tcW w:w="13747" w:type="dxa"/>
          </w:tcPr>
          <w:p w:rsidR="008C7743" w:rsidRPr="00BD26EF" w:rsidRDefault="008C7743" w:rsidP="00F6497B">
            <w:pPr>
              <w:autoSpaceDE w:val="0"/>
              <w:autoSpaceDN w:val="0"/>
              <w:adjustRightInd w:val="0"/>
              <w:rPr>
                <w:rFonts w:cs="TT4CAo00"/>
              </w:rPr>
            </w:pPr>
            <w:r w:rsidRPr="00BD26EF">
              <w:rPr>
                <w:rFonts w:cs="TT4CAo00"/>
              </w:rPr>
              <w:t xml:space="preserve">The response does not relate to the question. Inappropriate words and phrases are chosen or none </w:t>
            </w:r>
            <w:proofErr w:type="gramStart"/>
            <w:r w:rsidRPr="00BD26EF">
              <w:rPr>
                <w:rFonts w:cs="TT4CAo00"/>
              </w:rPr>
              <w:t>are</w:t>
            </w:r>
            <w:proofErr w:type="gramEnd"/>
            <w:r w:rsidRPr="00BD26EF">
              <w:rPr>
                <w:rFonts w:cs="TT4CAo00"/>
              </w:rPr>
              <w:t xml:space="preserve"> selected.</w:t>
            </w:r>
          </w:p>
        </w:tc>
      </w:tr>
    </w:tbl>
    <w:p w:rsidR="008C7743" w:rsidRPr="00BD26EF" w:rsidRDefault="008C7743" w:rsidP="008C7743">
      <w:pPr>
        <w:autoSpaceDE w:val="0"/>
        <w:autoSpaceDN w:val="0"/>
        <w:adjustRightInd w:val="0"/>
        <w:spacing w:after="0" w:line="240" w:lineRule="auto"/>
        <w:rPr>
          <w:rFonts w:cs="TT4CAo00"/>
        </w:rPr>
      </w:pPr>
    </w:p>
    <w:p w:rsidR="008C7743" w:rsidRPr="00BD26EF" w:rsidRDefault="008C7743" w:rsidP="008C7743">
      <w:pPr>
        <w:autoSpaceDE w:val="0"/>
        <w:autoSpaceDN w:val="0"/>
        <w:adjustRightInd w:val="0"/>
        <w:spacing w:after="0" w:line="240" w:lineRule="auto"/>
        <w:rPr>
          <w:rFonts w:cs="TT4CAo00"/>
        </w:rPr>
      </w:pPr>
    </w:p>
    <w:p w:rsidR="008C7743" w:rsidRPr="00BD26EF" w:rsidRDefault="008C7743" w:rsidP="008C7743">
      <w:pPr>
        <w:spacing w:after="0" w:line="240" w:lineRule="auto"/>
        <w:jc w:val="center"/>
        <w:rPr>
          <w:b/>
          <w:sz w:val="30"/>
          <w:szCs w:val="30"/>
        </w:rPr>
      </w:pPr>
    </w:p>
    <w:p w:rsidR="00322EFB" w:rsidRDefault="008C7743"/>
    <w:sectPr w:rsidR="00322EFB" w:rsidSect="008C77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4CBo00">
    <w:panose1 w:val="00000000000000000000"/>
    <w:charset w:val="00"/>
    <w:family w:val="swiss"/>
    <w:notTrueType/>
    <w:pitch w:val="default"/>
    <w:sig w:usb0="00000003" w:usb1="00000000" w:usb2="00000000" w:usb3="00000000" w:csb0="00000001" w:csb1="00000000"/>
  </w:font>
  <w:font w:name="TT4CA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BAE"/>
    <w:multiLevelType w:val="hybridMultilevel"/>
    <w:tmpl w:val="D7E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3"/>
    <w:rsid w:val="00611304"/>
    <w:rsid w:val="008C7743"/>
    <w:rsid w:val="00A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A3F5"/>
  <w15:chartTrackingRefBased/>
  <w15:docId w15:val="{039F63D8-4A99-4B3F-8ABC-CCF2860E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 Schools Southwestern Group</dc:creator>
  <cp:keywords/>
  <dc:description/>
  <cp:lastModifiedBy>Imagine Schools Southwestern Group</cp:lastModifiedBy>
  <cp:revision>1</cp:revision>
  <dcterms:created xsi:type="dcterms:W3CDTF">2017-01-23T16:40:00Z</dcterms:created>
  <dcterms:modified xsi:type="dcterms:W3CDTF">2017-01-23T16:41:00Z</dcterms:modified>
</cp:coreProperties>
</file>